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AA" w:rsidRDefault="0065644D" w:rsidP="001B000E">
      <w:pPr>
        <w:ind w:left="-340"/>
      </w:pPr>
      <w:r w:rsidRPr="0065644D">
        <w:rPr>
          <w:noProof/>
          <w:lang w:eastAsia="ru-RU"/>
        </w:rPr>
        <w:drawing>
          <wp:inline distT="0" distB="0" distL="0" distR="0">
            <wp:extent cx="2095500" cy="657225"/>
            <wp:effectExtent l="0" t="0" r="0" b="9525"/>
            <wp:docPr id="1" name="Рисунок 1" descr="C:\ДОКУМЕНТЫ\Мои документы\Юлия ЦМР\лого_ЦГПБ_черн_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Мои документы\Юлия ЦМР\лого_ЦГПБ_черн_бе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4D" w:rsidRDefault="0065644D" w:rsidP="001B000E">
      <w:pPr>
        <w:ind w:left="-340"/>
      </w:pPr>
    </w:p>
    <w:p w:rsidR="0065644D" w:rsidRDefault="0065644D" w:rsidP="001B000E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</w:t>
      </w:r>
    </w:p>
    <w:p w:rsidR="0065644D" w:rsidRDefault="001E706B" w:rsidP="001B000E">
      <w:pPr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7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4D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онференции «Методическая служба: между молотом и наковальней. Через </w:t>
      </w:r>
      <w:r w:rsidR="00666F38">
        <w:rPr>
          <w:rFonts w:ascii="Times New Roman" w:hAnsi="Times New Roman" w:cs="Times New Roman"/>
          <w:b/>
          <w:sz w:val="24"/>
          <w:szCs w:val="24"/>
        </w:rPr>
        <w:t>взаимопонимание с коллективом к взаимодействию с властью и обществом</w:t>
      </w:r>
      <w:r w:rsidR="0065644D">
        <w:rPr>
          <w:rFonts w:ascii="Times New Roman" w:hAnsi="Times New Roman" w:cs="Times New Roman"/>
          <w:b/>
          <w:sz w:val="24"/>
          <w:szCs w:val="24"/>
        </w:rPr>
        <w:t>»</w:t>
      </w:r>
    </w:p>
    <w:p w:rsidR="0065644D" w:rsidRDefault="00666F38" w:rsidP="001B000E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5644D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644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65644D">
        <w:rPr>
          <w:rFonts w:ascii="Times New Roman" w:hAnsi="Times New Roman" w:cs="Times New Roman"/>
          <w:sz w:val="24"/>
          <w:szCs w:val="24"/>
        </w:rPr>
        <w:t>, Санкт-Петербург</w:t>
      </w:r>
    </w:p>
    <w:p w:rsidR="0065644D" w:rsidRDefault="0065644D" w:rsidP="001B000E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</w:p>
    <w:p w:rsidR="005271D0" w:rsidRDefault="00666F38" w:rsidP="001B000E">
      <w:pPr>
        <w:pStyle w:val="a3"/>
        <w:spacing w:line="360" w:lineRule="auto"/>
        <w:ind w:left="-3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1D0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</w:t>
      </w:r>
      <w:r w:rsidR="001E41E9" w:rsidRPr="001E41E9">
        <w:rPr>
          <w:rFonts w:ascii="Times New Roman" w:hAnsi="Times New Roman" w:cs="Times New Roman"/>
          <w:sz w:val="24"/>
          <w:szCs w:val="24"/>
        </w:rPr>
        <w:t>«Методическая служба: между молотом и наковальней. Через взаимопонимание с коллективом к взаимодействию с властью и обществом»</w:t>
      </w:r>
      <w:r w:rsidR="005271D0">
        <w:rPr>
          <w:rFonts w:ascii="Times New Roman" w:hAnsi="Times New Roman" w:cs="Times New Roman"/>
          <w:sz w:val="24"/>
          <w:szCs w:val="24"/>
        </w:rPr>
        <w:t xml:space="preserve"> организована Центральной городской публичной библиотекой им. В.В. Маяковского при поддержке Комитета по культуре Санкт-Петербурга. </w:t>
      </w:r>
    </w:p>
    <w:p w:rsidR="00035090" w:rsidRDefault="00501052" w:rsidP="001E41E9">
      <w:pPr>
        <w:pStyle w:val="a3"/>
        <w:spacing w:line="360" w:lineRule="auto"/>
        <w:ind w:left="-3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8F4">
        <w:rPr>
          <w:rFonts w:ascii="Times New Roman" w:hAnsi="Times New Roman" w:cs="Times New Roman"/>
          <w:b/>
          <w:sz w:val="24"/>
          <w:szCs w:val="24"/>
        </w:rPr>
        <w:t>В работе К</w:t>
      </w:r>
      <w:r w:rsidR="00035090" w:rsidRPr="00FA28F4">
        <w:rPr>
          <w:rFonts w:ascii="Times New Roman" w:hAnsi="Times New Roman" w:cs="Times New Roman"/>
          <w:b/>
          <w:sz w:val="24"/>
          <w:szCs w:val="24"/>
        </w:rPr>
        <w:t>онференции приняли участие</w:t>
      </w:r>
      <w:r w:rsidR="00035090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2D721D">
        <w:rPr>
          <w:rFonts w:ascii="Times New Roman" w:hAnsi="Times New Roman" w:cs="Times New Roman"/>
          <w:sz w:val="24"/>
          <w:szCs w:val="24"/>
        </w:rPr>
        <w:t xml:space="preserve"> методических служб национальных, республиканских, публичных,</w:t>
      </w:r>
      <w:r w:rsidR="0030491D">
        <w:rPr>
          <w:rFonts w:ascii="Times New Roman" w:hAnsi="Times New Roman" w:cs="Times New Roman"/>
          <w:sz w:val="24"/>
          <w:szCs w:val="24"/>
        </w:rPr>
        <w:t xml:space="preserve"> специализированных, </w:t>
      </w:r>
      <w:r w:rsidR="003D0F06">
        <w:rPr>
          <w:rFonts w:ascii="Times New Roman" w:hAnsi="Times New Roman" w:cs="Times New Roman"/>
          <w:sz w:val="24"/>
          <w:szCs w:val="24"/>
        </w:rPr>
        <w:t>вуз</w:t>
      </w:r>
      <w:r w:rsidR="002D721D">
        <w:rPr>
          <w:rFonts w:ascii="Times New Roman" w:hAnsi="Times New Roman" w:cs="Times New Roman"/>
          <w:sz w:val="24"/>
          <w:szCs w:val="24"/>
        </w:rPr>
        <w:t xml:space="preserve">овских библиотек из Москвы, </w:t>
      </w:r>
      <w:r w:rsidR="003D0F06">
        <w:rPr>
          <w:rFonts w:ascii="Times New Roman" w:hAnsi="Times New Roman" w:cs="Times New Roman"/>
          <w:sz w:val="24"/>
          <w:szCs w:val="24"/>
        </w:rPr>
        <w:t xml:space="preserve">Белгорода, Владимира, Воронежа, Иваново, Иркутска, </w:t>
      </w:r>
      <w:r w:rsidR="002D721D">
        <w:rPr>
          <w:rFonts w:ascii="Times New Roman" w:hAnsi="Times New Roman" w:cs="Times New Roman"/>
          <w:sz w:val="24"/>
          <w:szCs w:val="24"/>
        </w:rPr>
        <w:t>Калининграда,</w:t>
      </w:r>
      <w:r w:rsidR="003D0F06">
        <w:rPr>
          <w:rFonts w:ascii="Times New Roman" w:hAnsi="Times New Roman" w:cs="Times New Roman"/>
          <w:sz w:val="24"/>
          <w:szCs w:val="24"/>
        </w:rPr>
        <w:t xml:space="preserve"> Магадана, Мурманска,</w:t>
      </w:r>
      <w:r w:rsidR="0030491D">
        <w:rPr>
          <w:rFonts w:ascii="Times New Roman" w:hAnsi="Times New Roman" w:cs="Times New Roman"/>
          <w:sz w:val="24"/>
          <w:szCs w:val="24"/>
        </w:rPr>
        <w:t xml:space="preserve"> </w:t>
      </w:r>
      <w:r w:rsidR="002D721D" w:rsidRPr="003D0F06">
        <w:rPr>
          <w:rFonts w:ascii="Times New Roman" w:hAnsi="Times New Roman" w:cs="Times New Roman"/>
          <w:sz w:val="24"/>
          <w:szCs w:val="24"/>
        </w:rPr>
        <w:t>Петрозаводска,</w:t>
      </w:r>
      <w:r w:rsidR="002D721D">
        <w:rPr>
          <w:rFonts w:ascii="Times New Roman" w:hAnsi="Times New Roman" w:cs="Times New Roman"/>
          <w:sz w:val="24"/>
          <w:szCs w:val="24"/>
        </w:rPr>
        <w:t xml:space="preserve"> Пскова, </w:t>
      </w:r>
      <w:r w:rsidR="002D721D" w:rsidRPr="003D0F06">
        <w:rPr>
          <w:rFonts w:ascii="Times New Roman" w:hAnsi="Times New Roman" w:cs="Times New Roman"/>
          <w:sz w:val="24"/>
          <w:szCs w:val="24"/>
        </w:rPr>
        <w:t>Перми,</w:t>
      </w:r>
      <w:r w:rsidR="003D0F06">
        <w:rPr>
          <w:rFonts w:ascii="Times New Roman" w:hAnsi="Times New Roman" w:cs="Times New Roman"/>
          <w:sz w:val="24"/>
          <w:szCs w:val="24"/>
        </w:rPr>
        <w:t xml:space="preserve"> Симферополя, Смоленска, Твери, Ярославля,</w:t>
      </w:r>
      <w:r w:rsidR="002D721D">
        <w:rPr>
          <w:rFonts w:ascii="Times New Roman" w:hAnsi="Times New Roman" w:cs="Times New Roman"/>
          <w:sz w:val="24"/>
          <w:szCs w:val="24"/>
        </w:rPr>
        <w:t xml:space="preserve"> </w:t>
      </w:r>
      <w:r w:rsidR="003D0F06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2D721D" w:rsidRPr="003D0F06">
        <w:rPr>
          <w:rFonts w:ascii="Times New Roman" w:hAnsi="Times New Roman" w:cs="Times New Roman"/>
          <w:sz w:val="24"/>
          <w:szCs w:val="24"/>
        </w:rPr>
        <w:t>края,</w:t>
      </w:r>
      <w:r w:rsidR="0030491D">
        <w:rPr>
          <w:rFonts w:ascii="Times New Roman" w:hAnsi="Times New Roman" w:cs="Times New Roman"/>
          <w:sz w:val="24"/>
          <w:szCs w:val="24"/>
        </w:rPr>
        <w:t xml:space="preserve"> </w:t>
      </w:r>
      <w:r w:rsidR="003D0F06">
        <w:rPr>
          <w:rFonts w:ascii="Times New Roman" w:hAnsi="Times New Roman" w:cs="Times New Roman"/>
          <w:sz w:val="24"/>
          <w:szCs w:val="24"/>
        </w:rPr>
        <w:t xml:space="preserve">Вологодской, Калужской, </w:t>
      </w:r>
      <w:r w:rsidR="0030491D">
        <w:rPr>
          <w:rFonts w:ascii="Times New Roman" w:hAnsi="Times New Roman" w:cs="Times New Roman"/>
          <w:sz w:val="24"/>
          <w:szCs w:val="24"/>
        </w:rPr>
        <w:t>Ленинградской</w:t>
      </w:r>
      <w:r w:rsidR="003D0F06">
        <w:rPr>
          <w:rFonts w:ascii="Times New Roman" w:hAnsi="Times New Roman" w:cs="Times New Roman"/>
          <w:sz w:val="24"/>
          <w:szCs w:val="24"/>
        </w:rPr>
        <w:t>, Московской, Мурманской, Нижегородской, Псковской, Ростовской</w:t>
      </w:r>
      <w:r w:rsidR="0030491D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2D721D">
        <w:rPr>
          <w:rFonts w:ascii="Times New Roman" w:hAnsi="Times New Roman" w:cs="Times New Roman"/>
          <w:sz w:val="24"/>
          <w:szCs w:val="24"/>
        </w:rPr>
        <w:t xml:space="preserve"> </w:t>
      </w:r>
      <w:r w:rsidR="003D0F06">
        <w:rPr>
          <w:rFonts w:ascii="Times New Roman" w:hAnsi="Times New Roman" w:cs="Times New Roman"/>
          <w:sz w:val="24"/>
          <w:szCs w:val="24"/>
        </w:rPr>
        <w:t>Республики Башкортостан, Чувашской Республики</w:t>
      </w:r>
      <w:r w:rsidR="008F2F3B">
        <w:rPr>
          <w:rFonts w:ascii="Times New Roman" w:hAnsi="Times New Roman" w:cs="Times New Roman"/>
          <w:sz w:val="24"/>
          <w:szCs w:val="24"/>
        </w:rPr>
        <w:t xml:space="preserve">, </w:t>
      </w:r>
      <w:r w:rsidR="008F2F3B" w:rsidRPr="008F2F3B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5A3FA3">
        <w:rPr>
          <w:rFonts w:ascii="Times New Roman" w:hAnsi="Times New Roman" w:cs="Times New Roman"/>
          <w:sz w:val="24"/>
          <w:szCs w:val="24"/>
        </w:rPr>
        <w:t>,</w:t>
      </w:r>
      <w:r w:rsidR="003D0F06">
        <w:rPr>
          <w:rFonts w:ascii="Times New Roman" w:hAnsi="Times New Roman" w:cs="Times New Roman"/>
          <w:sz w:val="24"/>
          <w:szCs w:val="24"/>
        </w:rPr>
        <w:t xml:space="preserve"> </w:t>
      </w:r>
      <w:r w:rsidR="002D721D">
        <w:rPr>
          <w:rFonts w:ascii="Times New Roman" w:hAnsi="Times New Roman" w:cs="Times New Roman"/>
          <w:sz w:val="24"/>
          <w:szCs w:val="24"/>
        </w:rPr>
        <w:t xml:space="preserve">преподаватели высших учебных заведений из </w:t>
      </w:r>
      <w:r w:rsidR="0030491D">
        <w:rPr>
          <w:rFonts w:ascii="Times New Roman" w:hAnsi="Times New Roman" w:cs="Times New Roman"/>
          <w:sz w:val="24"/>
          <w:szCs w:val="24"/>
        </w:rPr>
        <w:t xml:space="preserve">Санкт-Петербурга, представители средних специальных учебных заведений. Общее количество участников </w:t>
      </w:r>
      <w:r w:rsidR="00A66AE1">
        <w:rPr>
          <w:rFonts w:ascii="Times New Roman" w:hAnsi="Times New Roman" w:cs="Times New Roman"/>
          <w:sz w:val="24"/>
          <w:szCs w:val="24"/>
        </w:rPr>
        <w:t>–</w:t>
      </w:r>
      <w:r w:rsidR="00E10648">
        <w:rPr>
          <w:rFonts w:ascii="Times New Roman" w:hAnsi="Times New Roman" w:cs="Times New Roman"/>
          <w:sz w:val="24"/>
          <w:szCs w:val="24"/>
        </w:rPr>
        <w:t>116</w:t>
      </w:r>
      <w:r w:rsidR="00A66AE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0491D">
        <w:rPr>
          <w:rFonts w:ascii="Times New Roman" w:hAnsi="Times New Roman" w:cs="Times New Roman"/>
          <w:sz w:val="24"/>
          <w:szCs w:val="24"/>
        </w:rPr>
        <w:t xml:space="preserve">   </w:t>
      </w:r>
      <w:r w:rsidR="005A3FA3">
        <w:rPr>
          <w:rFonts w:ascii="Times New Roman" w:hAnsi="Times New Roman" w:cs="Times New Roman"/>
          <w:sz w:val="24"/>
          <w:szCs w:val="24"/>
        </w:rPr>
        <w:t>и</w:t>
      </w:r>
      <w:r w:rsidR="0030491D">
        <w:rPr>
          <w:rFonts w:ascii="Times New Roman" w:hAnsi="Times New Roman" w:cs="Times New Roman"/>
          <w:sz w:val="24"/>
          <w:szCs w:val="24"/>
        </w:rPr>
        <w:t xml:space="preserve">з </w:t>
      </w:r>
      <w:r w:rsidR="00E10648">
        <w:rPr>
          <w:rFonts w:ascii="Times New Roman" w:hAnsi="Times New Roman" w:cs="Times New Roman"/>
          <w:sz w:val="24"/>
          <w:szCs w:val="24"/>
        </w:rPr>
        <w:t>24</w:t>
      </w:r>
      <w:r w:rsidR="005A3FA3">
        <w:rPr>
          <w:rFonts w:ascii="Times New Roman" w:hAnsi="Times New Roman" w:cs="Times New Roman"/>
          <w:sz w:val="24"/>
          <w:szCs w:val="24"/>
        </w:rPr>
        <w:t xml:space="preserve"> </w:t>
      </w:r>
      <w:r w:rsidR="00E10648">
        <w:rPr>
          <w:rFonts w:ascii="Times New Roman" w:hAnsi="Times New Roman" w:cs="Times New Roman"/>
          <w:sz w:val="24"/>
          <w:szCs w:val="24"/>
        </w:rPr>
        <w:t>городов различных</w:t>
      </w:r>
      <w:r w:rsidR="0030491D">
        <w:rPr>
          <w:rFonts w:ascii="Times New Roman" w:hAnsi="Times New Roman" w:cs="Times New Roman"/>
          <w:sz w:val="24"/>
          <w:szCs w:val="24"/>
        </w:rPr>
        <w:t xml:space="preserve"> регионов России. Было представлено </w:t>
      </w:r>
      <w:r w:rsidR="002C6F96" w:rsidRPr="002C6F96">
        <w:rPr>
          <w:rFonts w:ascii="Times New Roman" w:hAnsi="Times New Roman" w:cs="Times New Roman"/>
          <w:sz w:val="24"/>
          <w:szCs w:val="24"/>
        </w:rPr>
        <w:t>17</w:t>
      </w:r>
      <w:r w:rsidR="0030491D" w:rsidRPr="002C6F96">
        <w:rPr>
          <w:rFonts w:ascii="Times New Roman" w:hAnsi="Times New Roman" w:cs="Times New Roman"/>
          <w:sz w:val="24"/>
          <w:szCs w:val="24"/>
        </w:rPr>
        <w:t xml:space="preserve"> д</w:t>
      </w:r>
      <w:r w:rsidR="0030491D">
        <w:rPr>
          <w:rFonts w:ascii="Times New Roman" w:hAnsi="Times New Roman" w:cs="Times New Roman"/>
          <w:sz w:val="24"/>
          <w:szCs w:val="24"/>
        </w:rPr>
        <w:t>окладов.</w:t>
      </w:r>
      <w:r w:rsidR="001E4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E9" w:rsidRDefault="001E41E9" w:rsidP="001E41E9">
      <w:pPr>
        <w:pStyle w:val="a3"/>
        <w:spacing w:line="360" w:lineRule="auto"/>
        <w:ind w:left="-3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648" w:rsidRDefault="00501052" w:rsidP="00E10648">
      <w:pPr>
        <w:pStyle w:val="a3"/>
        <w:spacing w:line="360" w:lineRule="auto"/>
        <w:ind w:left="-3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F4">
        <w:rPr>
          <w:rFonts w:ascii="Times New Roman" w:hAnsi="Times New Roman" w:cs="Times New Roman"/>
          <w:b/>
          <w:sz w:val="24"/>
          <w:szCs w:val="24"/>
        </w:rPr>
        <w:t>Участники Конференции рассмотрели</w:t>
      </w:r>
      <w:r w:rsidR="00326AB7">
        <w:rPr>
          <w:rFonts w:ascii="Times New Roman" w:hAnsi="Times New Roman" w:cs="Times New Roman"/>
          <w:b/>
          <w:sz w:val="24"/>
          <w:szCs w:val="24"/>
        </w:rPr>
        <w:t>:</w:t>
      </w:r>
    </w:p>
    <w:p w:rsidR="00326AB7" w:rsidRDefault="004E6CCB" w:rsidP="001B000E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501052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0105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1052">
        <w:rPr>
          <w:rFonts w:ascii="Times New Roman" w:hAnsi="Times New Roman" w:cs="Times New Roman"/>
          <w:sz w:val="24"/>
          <w:szCs w:val="24"/>
        </w:rPr>
        <w:t xml:space="preserve"> </w:t>
      </w:r>
      <w:r w:rsidR="00F367DB">
        <w:rPr>
          <w:rFonts w:ascii="Times New Roman" w:hAnsi="Times New Roman" w:cs="Times New Roman"/>
          <w:sz w:val="24"/>
          <w:szCs w:val="24"/>
        </w:rPr>
        <w:t>общедоступ</w:t>
      </w:r>
      <w:r w:rsidR="00501052">
        <w:rPr>
          <w:rFonts w:ascii="Times New Roman" w:hAnsi="Times New Roman" w:cs="Times New Roman"/>
          <w:sz w:val="24"/>
          <w:szCs w:val="24"/>
        </w:rPr>
        <w:t>ных библиотек</w:t>
      </w:r>
      <w:r w:rsidR="00F367DB">
        <w:rPr>
          <w:rFonts w:ascii="Times New Roman" w:hAnsi="Times New Roman" w:cs="Times New Roman"/>
          <w:sz w:val="24"/>
          <w:szCs w:val="24"/>
        </w:rPr>
        <w:t xml:space="preserve"> в условиях реорганизации библиотечной сети</w:t>
      </w:r>
      <w:r w:rsidR="005010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AB7" w:rsidRDefault="00F367DB" w:rsidP="001B000E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методическую деятельность </w:t>
      </w:r>
      <w:r w:rsidR="0020148F">
        <w:rPr>
          <w:rFonts w:ascii="Times New Roman" w:hAnsi="Times New Roman" w:cs="Times New Roman"/>
          <w:sz w:val="24"/>
          <w:szCs w:val="24"/>
        </w:rPr>
        <w:t xml:space="preserve">библиотек </w:t>
      </w:r>
      <w:r>
        <w:rPr>
          <w:rFonts w:ascii="Times New Roman" w:hAnsi="Times New Roman" w:cs="Times New Roman"/>
          <w:sz w:val="24"/>
          <w:szCs w:val="24"/>
        </w:rPr>
        <w:t>в электронной среде</w:t>
      </w:r>
      <w:r w:rsidR="00652F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67DB" w:rsidRDefault="00F367DB" w:rsidP="001B000E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успешный опыт социального партнерства общедоступных библиотек;</w:t>
      </w:r>
    </w:p>
    <w:p w:rsidR="00E10648" w:rsidRDefault="00E10648" w:rsidP="001B000E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создании и функционировании при библиотеках наблюдательных, читательских, добровольческих и иных общественных структур как форме (возможности) участия населения в управлении библиотекой;</w:t>
      </w:r>
    </w:p>
    <w:p w:rsidR="00F367DB" w:rsidRDefault="00E34570" w:rsidP="001B000E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конструктивного взаимодействия методических служб общедоступных библиотек с властными структурами;</w:t>
      </w:r>
    </w:p>
    <w:p w:rsidR="002E26D1" w:rsidRPr="002E26D1" w:rsidRDefault="002E26D1" w:rsidP="002E26D1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2E26D1">
        <w:rPr>
          <w:rFonts w:ascii="Times New Roman" w:hAnsi="Times New Roman" w:cs="Times New Roman"/>
          <w:sz w:val="24"/>
          <w:szCs w:val="24"/>
        </w:rPr>
        <w:lastRenderedPageBreak/>
        <w:t xml:space="preserve">роль методических служб в организации системы повышения квалификации библиотечных специалистов; </w:t>
      </w:r>
    </w:p>
    <w:p w:rsidR="00E34570" w:rsidRDefault="002E26D1" w:rsidP="001B000E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применения новых форм профессионального развития библиотекарей с использованием </w:t>
      </w:r>
      <w:r w:rsidR="002C6F96">
        <w:rPr>
          <w:rFonts w:ascii="Times New Roman" w:hAnsi="Times New Roman" w:cs="Times New Roman"/>
          <w:sz w:val="24"/>
          <w:szCs w:val="24"/>
        </w:rPr>
        <w:t>новых информационных технологий;</w:t>
      </w:r>
    </w:p>
    <w:p w:rsidR="002C6F96" w:rsidRDefault="002C6F96" w:rsidP="001B000E">
      <w:pPr>
        <w:pStyle w:val="a3"/>
        <w:numPr>
          <w:ilvl w:val="0"/>
          <w:numId w:val="2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развития государственной статистики в сфере библиотечного дела</w:t>
      </w:r>
      <w:r w:rsidR="00974E5F">
        <w:rPr>
          <w:rFonts w:ascii="Times New Roman" w:hAnsi="Times New Roman" w:cs="Times New Roman"/>
          <w:sz w:val="24"/>
          <w:szCs w:val="24"/>
        </w:rPr>
        <w:t>.</w:t>
      </w:r>
    </w:p>
    <w:p w:rsidR="00974E5F" w:rsidRDefault="00974E5F" w:rsidP="001B000E">
      <w:pPr>
        <w:pStyle w:val="a3"/>
        <w:spacing w:line="360" w:lineRule="auto"/>
        <w:ind w:left="-3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18" w:rsidRDefault="00FA28F4" w:rsidP="001B000E">
      <w:pPr>
        <w:pStyle w:val="a3"/>
        <w:spacing w:line="360" w:lineRule="auto"/>
        <w:ind w:left="-3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F4">
        <w:rPr>
          <w:rFonts w:ascii="Times New Roman" w:hAnsi="Times New Roman" w:cs="Times New Roman"/>
          <w:b/>
          <w:sz w:val="24"/>
          <w:szCs w:val="24"/>
        </w:rPr>
        <w:t xml:space="preserve">Участники Конференции пришли </w:t>
      </w:r>
      <w:r w:rsidR="00C31918">
        <w:rPr>
          <w:rFonts w:ascii="Times New Roman" w:hAnsi="Times New Roman" w:cs="Times New Roman"/>
          <w:b/>
          <w:sz w:val="24"/>
          <w:szCs w:val="24"/>
        </w:rPr>
        <w:t>к выводам:</w:t>
      </w:r>
    </w:p>
    <w:p w:rsidR="00974E5F" w:rsidRDefault="00974E5F" w:rsidP="001B000E">
      <w:pPr>
        <w:pStyle w:val="a3"/>
        <w:numPr>
          <w:ilvl w:val="0"/>
          <w:numId w:val="4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службы библиотек принимают активное участие в формировании библиотечной политики региона в интересах своих пользователей;</w:t>
      </w:r>
    </w:p>
    <w:p w:rsidR="00974E5F" w:rsidRDefault="00974E5F" w:rsidP="001B000E">
      <w:pPr>
        <w:pStyle w:val="a3"/>
        <w:numPr>
          <w:ilvl w:val="0"/>
          <w:numId w:val="4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ежегодных аналитических обзоров и регулярных мониторингов методические службы предоставляют органам власти информацию о состоянии подведомственных библиотек и предложения по дальнейшему их развитию;</w:t>
      </w:r>
    </w:p>
    <w:p w:rsidR="00974E5F" w:rsidRDefault="00974E5F" w:rsidP="001B000E">
      <w:pPr>
        <w:pStyle w:val="a3"/>
        <w:numPr>
          <w:ilvl w:val="0"/>
          <w:numId w:val="4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службы инициируют взаимодействие с властными структурами различных уровней в целях формирования эффективной деятельности, направленной на улучшения качества жизни местного сообщества;</w:t>
      </w:r>
    </w:p>
    <w:p w:rsidR="00974E5F" w:rsidRDefault="00974E5F" w:rsidP="001B000E">
      <w:pPr>
        <w:pStyle w:val="a3"/>
        <w:numPr>
          <w:ilvl w:val="0"/>
          <w:numId w:val="4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большее значение придается одной из основных функций методических служб – координации методической деятельности всех профильных структур: информационно-библиографических служб, отделов комплектования и обработки, отделов обслуживания (в том числе специализированных), отделов автоматизации и компьютерных технологий и др.;</w:t>
      </w:r>
    </w:p>
    <w:p w:rsidR="00974E5F" w:rsidRDefault="00974E5F" w:rsidP="001B000E">
      <w:pPr>
        <w:pStyle w:val="a3"/>
        <w:numPr>
          <w:ilvl w:val="0"/>
          <w:numId w:val="4"/>
        </w:numPr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возрастает роль методических служб не только как аналитических и мониторинговых центров, но и как разработчиков стратегии библиотечного развития региона.</w:t>
      </w:r>
    </w:p>
    <w:p w:rsidR="00974E5F" w:rsidRDefault="00974E5F" w:rsidP="001B000E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F75DFC" w:rsidRDefault="00F75DFC" w:rsidP="001B000E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727B17" w:rsidRDefault="00727B17" w:rsidP="001B000E">
      <w:pPr>
        <w:pStyle w:val="a3"/>
        <w:spacing w:line="360" w:lineRule="auto"/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Конференции рекомендуют:</w:t>
      </w:r>
    </w:p>
    <w:p w:rsidR="003749CD" w:rsidRPr="00C4388E" w:rsidRDefault="00C4388E" w:rsidP="00F75DFC">
      <w:pPr>
        <w:pStyle w:val="a3"/>
        <w:numPr>
          <w:ilvl w:val="0"/>
          <w:numId w:val="1"/>
        </w:numPr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3749CD" w:rsidRPr="00C4388E">
        <w:rPr>
          <w:rFonts w:ascii="Times New Roman" w:hAnsi="Times New Roman" w:cs="Times New Roman"/>
          <w:sz w:val="24"/>
          <w:szCs w:val="24"/>
        </w:rPr>
        <w:t xml:space="preserve"> взаимн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749CD" w:rsidRPr="00C4388E">
        <w:rPr>
          <w:rFonts w:ascii="Times New Roman" w:hAnsi="Times New Roman" w:cs="Times New Roman"/>
          <w:sz w:val="24"/>
          <w:szCs w:val="24"/>
        </w:rPr>
        <w:t xml:space="preserve"> обмен информацией о перспективных технологиях, оригинальных идеях, актуальном практическом опыте методической деятельности: на уровне личных контактов, на уровне взаимного привлечения специалистов к участию в профессиональных</w:t>
      </w:r>
      <w:r w:rsidR="007F0140" w:rsidRPr="00C4388E">
        <w:rPr>
          <w:rFonts w:ascii="Times New Roman" w:hAnsi="Times New Roman" w:cs="Times New Roman"/>
          <w:sz w:val="24"/>
          <w:szCs w:val="24"/>
        </w:rPr>
        <w:t xml:space="preserve"> мероприятиях, в т.ч. конференциях, круглых столах и т.д.</w:t>
      </w:r>
      <w:r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326AB7" w:rsidRPr="00C4388E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</w:t>
      </w:r>
      <w:r w:rsidR="00C31918" w:rsidRPr="00C4388E">
        <w:rPr>
          <w:rFonts w:ascii="Times New Roman" w:hAnsi="Times New Roman" w:cs="Times New Roman"/>
          <w:sz w:val="24"/>
          <w:szCs w:val="24"/>
        </w:rPr>
        <w:t>,</w:t>
      </w:r>
      <w:r w:rsidR="008B721A" w:rsidRPr="00C4388E">
        <w:rPr>
          <w:rFonts w:ascii="Times New Roman" w:hAnsi="Times New Roman" w:cs="Times New Roman"/>
          <w:sz w:val="24"/>
          <w:szCs w:val="24"/>
        </w:rPr>
        <w:t xml:space="preserve"> виртуальн</w:t>
      </w:r>
      <w:r w:rsidR="00C31918" w:rsidRPr="00C4388E">
        <w:rPr>
          <w:rFonts w:ascii="Times New Roman" w:hAnsi="Times New Roman" w:cs="Times New Roman"/>
          <w:sz w:val="24"/>
          <w:szCs w:val="24"/>
        </w:rPr>
        <w:t>ые формы работы</w:t>
      </w:r>
      <w:r w:rsidR="008B721A" w:rsidRPr="00C4388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профессионального общения</w:t>
      </w:r>
      <w:r w:rsidR="008B721A" w:rsidRPr="00C438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B721A" w:rsidRPr="00C4388E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F78" w:rsidRPr="00C4388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A73F78" w:rsidRPr="00C4388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B721A" w:rsidRPr="00C4388E">
        <w:rPr>
          <w:rFonts w:ascii="Times New Roman" w:hAnsi="Times New Roman" w:cs="Times New Roman"/>
          <w:sz w:val="24"/>
          <w:szCs w:val="24"/>
        </w:rPr>
        <w:t>)</w:t>
      </w:r>
    </w:p>
    <w:p w:rsidR="008C5FDF" w:rsidRDefault="008C5FDF" w:rsidP="00F75DFC">
      <w:pPr>
        <w:pStyle w:val="a3"/>
        <w:numPr>
          <w:ilvl w:val="0"/>
          <w:numId w:val="1"/>
        </w:numPr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концепци</w:t>
      </w:r>
      <w:r w:rsidR="00E10648">
        <w:rPr>
          <w:rFonts w:ascii="Times New Roman" w:hAnsi="Times New Roman" w:cs="Times New Roman"/>
          <w:sz w:val="24"/>
          <w:szCs w:val="24"/>
        </w:rPr>
        <w:t>и, стратегические планы развития</w:t>
      </w:r>
      <w:r w:rsidR="005A3FA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общедоступных библиотек</w:t>
      </w:r>
      <w:r w:rsidR="00F75DFC">
        <w:rPr>
          <w:rFonts w:ascii="Times New Roman" w:hAnsi="Times New Roman" w:cs="Times New Roman"/>
          <w:sz w:val="24"/>
          <w:szCs w:val="24"/>
        </w:rPr>
        <w:t xml:space="preserve"> регионов</w:t>
      </w:r>
      <w:r>
        <w:rPr>
          <w:rFonts w:ascii="Times New Roman" w:hAnsi="Times New Roman" w:cs="Times New Roman"/>
          <w:sz w:val="24"/>
          <w:szCs w:val="24"/>
        </w:rPr>
        <w:t xml:space="preserve">, а также ее нормативно-правовую базу, </w:t>
      </w:r>
      <w:r w:rsidR="008F2F3B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E10648">
        <w:rPr>
          <w:rFonts w:ascii="Times New Roman" w:hAnsi="Times New Roman" w:cs="Times New Roman"/>
          <w:sz w:val="24"/>
          <w:szCs w:val="24"/>
        </w:rPr>
        <w:t>апробированный</w:t>
      </w:r>
      <w:r w:rsidR="008F2F3B">
        <w:rPr>
          <w:rFonts w:ascii="Times New Roman" w:hAnsi="Times New Roman" w:cs="Times New Roman"/>
          <w:sz w:val="24"/>
          <w:szCs w:val="24"/>
        </w:rPr>
        <w:t xml:space="preserve"> опыт российских библиотек, используя лучшие современные библиотечные практики.</w:t>
      </w:r>
    </w:p>
    <w:p w:rsidR="00DB7B9E" w:rsidRDefault="00DB7B9E" w:rsidP="00F75DFC">
      <w:pPr>
        <w:pStyle w:val="a3"/>
        <w:numPr>
          <w:ilvl w:val="0"/>
          <w:numId w:val="1"/>
        </w:numPr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Активно использовать все формы социального партнерства в целях получения материальной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информационной поддержки, а также формирования положительного имиджа библиотек.</w:t>
      </w:r>
    </w:p>
    <w:p w:rsidR="008F2F3B" w:rsidRDefault="008F2F3B" w:rsidP="00F75DFC">
      <w:pPr>
        <w:pStyle w:val="a3"/>
        <w:numPr>
          <w:ilvl w:val="0"/>
          <w:numId w:val="1"/>
        </w:numPr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методическим службам региональных </w:t>
      </w:r>
      <w:r w:rsidR="00CE3F49">
        <w:rPr>
          <w:rFonts w:ascii="Times New Roman" w:hAnsi="Times New Roman" w:cs="Times New Roman"/>
          <w:sz w:val="24"/>
          <w:szCs w:val="24"/>
        </w:rPr>
        <w:t xml:space="preserve">(республиканских, областных, городских) </w:t>
      </w:r>
      <w:r w:rsidR="00E10648">
        <w:rPr>
          <w:rFonts w:ascii="Times New Roman" w:hAnsi="Times New Roman" w:cs="Times New Roman"/>
          <w:sz w:val="24"/>
          <w:szCs w:val="24"/>
        </w:rPr>
        <w:t>библиотек активнее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взаимодействовать с местными властями, принимать участие в формировании </w:t>
      </w:r>
      <w:r w:rsidR="00E10648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развития библиотечной сети, уделять особое внимание объединению библиотек и, опираясь на </w:t>
      </w:r>
      <w:r w:rsidR="00CE3F49">
        <w:rPr>
          <w:rFonts w:ascii="Times New Roman" w:hAnsi="Times New Roman" w:cs="Times New Roman"/>
          <w:sz w:val="24"/>
          <w:szCs w:val="24"/>
        </w:rPr>
        <w:t>принятые совместные решения, выстраивать стратегию развития библиотечной сети региона.</w:t>
      </w:r>
    </w:p>
    <w:p w:rsidR="00E10648" w:rsidRDefault="00E10648" w:rsidP="00F75DFC">
      <w:pPr>
        <w:pStyle w:val="a3"/>
        <w:numPr>
          <w:ilvl w:val="0"/>
          <w:numId w:val="1"/>
        </w:numPr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виртуальные методические кабинеты на сайтах крупных региональных библиотек, развивать такие формы методической работы как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10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консультации, создание и поддержка полнотекстовых баз данных актуальных документов и т.д.</w:t>
      </w:r>
    </w:p>
    <w:p w:rsidR="00787FB1" w:rsidRPr="00080C6F" w:rsidRDefault="00787FB1" w:rsidP="00F75DFC">
      <w:pPr>
        <w:pStyle w:val="a3"/>
        <w:numPr>
          <w:ilvl w:val="0"/>
          <w:numId w:val="1"/>
        </w:numPr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Оргкомитету Конференции </w:t>
      </w:r>
      <w:r w:rsidR="00911E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разместить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материалы Конференции на сайте Центральной городской публичной библиотеки им. В. В. Маяковского и на Портале Корпоративной сети общедосту</w:t>
      </w:r>
      <w:r w:rsidR="00742572">
        <w:rPr>
          <w:rFonts w:ascii="Times New Roman" w:eastAsia="Times New Roman" w:hAnsi="Times New Roman"/>
          <w:bCs/>
          <w:sz w:val="24"/>
          <w:szCs w:val="24"/>
          <w:lang w:eastAsia="ru-RU"/>
        </w:rPr>
        <w:t>пных библиотек Санкт-Петербурга.</w:t>
      </w:r>
    </w:p>
    <w:p w:rsidR="00D90DC4" w:rsidRDefault="00CD1C3C" w:rsidP="00F75DFC">
      <w:pPr>
        <w:pStyle w:val="a3"/>
        <w:numPr>
          <w:ilvl w:val="0"/>
          <w:numId w:val="1"/>
        </w:numPr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74FD">
        <w:rPr>
          <w:rFonts w:ascii="Times New Roman" w:hAnsi="Times New Roman" w:cs="Times New Roman"/>
          <w:sz w:val="24"/>
          <w:szCs w:val="24"/>
        </w:rPr>
        <w:t>родолжить 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1A74FD">
        <w:rPr>
          <w:rFonts w:ascii="Times New Roman" w:hAnsi="Times New Roman" w:cs="Times New Roman"/>
          <w:sz w:val="24"/>
          <w:szCs w:val="24"/>
        </w:rPr>
        <w:t>едение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научно-практически</w:t>
      </w:r>
      <w:r w:rsidR="001A74F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1A74FD">
        <w:rPr>
          <w:rFonts w:ascii="Times New Roman" w:hAnsi="Times New Roman" w:cs="Times New Roman"/>
          <w:sz w:val="24"/>
          <w:szCs w:val="24"/>
        </w:rPr>
        <w:t>й, посвященных</w:t>
      </w:r>
      <w:r>
        <w:rPr>
          <w:rFonts w:ascii="Times New Roman" w:hAnsi="Times New Roman" w:cs="Times New Roman"/>
          <w:sz w:val="24"/>
          <w:szCs w:val="24"/>
        </w:rPr>
        <w:t xml:space="preserve"> актуальным проблемам методической деятельности</w:t>
      </w:r>
      <w:r w:rsidR="001A7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Центральной городской публичной </w:t>
      </w:r>
    </w:p>
    <w:p w:rsidR="00080C6F" w:rsidRPr="00742572" w:rsidRDefault="00CD1C3C" w:rsidP="00F75DFC">
      <w:pPr>
        <w:pStyle w:val="a3"/>
        <w:spacing w:before="120" w:after="120"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742572">
        <w:rPr>
          <w:rFonts w:ascii="Times New Roman" w:hAnsi="Times New Roman" w:cs="Times New Roman"/>
          <w:sz w:val="24"/>
          <w:szCs w:val="24"/>
        </w:rPr>
        <w:t xml:space="preserve">библиотеке им. В.В. Маяковского не реже </w:t>
      </w:r>
      <w:r w:rsidR="00943DEA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43DEA" w:rsidRPr="00742572">
        <w:rPr>
          <w:rFonts w:ascii="Times New Roman" w:hAnsi="Times New Roman" w:cs="Times New Roman"/>
          <w:sz w:val="24"/>
          <w:szCs w:val="24"/>
        </w:rPr>
        <w:t>раза</w:t>
      </w:r>
      <w:r w:rsidRPr="00742572">
        <w:rPr>
          <w:rFonts w:ascii="Times New Roman" w:hAnsi="Times New Roman" w:cs="Times New Roman"/>
          <w:sz w:val="24"/>
          <w:szCs w:val="24"/>
        </w:rPr>
        <w:t xml:space="preserve"> в два года.</w:t>
      </w:r>
    </w:p>
    <w:sectPr w:rsidR="00080C6F" w:rsidRPr="00742572" w:rsidSect="00DD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1441"/>
    <w:multiLevelType w:val="hybridMultilevel"/>
    <w:tmpl w:val="658C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C71"/>
    <w:multiLevelType w:val="hybridMultilevel"/>
    <w:tmpl w:val="862A9A42"/>
    <w:lvl w:ilvl="0" w:tplc="878202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1F44CBA"/>
    <w:multiLevelType w:val="hybridMultilevel"/>
    <w:tmpl w:val="8070BDB8"/>
    <w:lvl w:ilvl="0" w:tplc="878202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48D4419"/>
    <w:multiLevelType w:val="hybridMultilevel"/>
    <w:tmpl w:val="342007FA"/>
    <w:lvl w:ilvl="0" w:tplc="878202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19"/>
    <w:rsid w:val="00035090"/>
    <w:rsid w:val="000429AA"/>
    <w:rsid w:val="00080C6F"/>
    <w:rsid w:val="000C6231"/>
    <w:rsid w:val="00107FB2"/>
    <w:rsid w:val="00147657"/>
    <w:rsid w:val="001A74FD"/>
    <w:rsid w:val="001B000E"/>
    <w:rsid w:val="001E41E9"/>
    <w:rsid w:val="001E706B"/>
    <w:rsid w:val="0020148F"/>
    <w:rsid w:val="002C6F96"/>
    <w:rsid w:val="002D721D"/>
    <w:rsid w:val="002E26D1"/>
    <w:rsid w:val="0030491D"/>
    <w:rsid w:val="00326AB7"/>
    <w:rsid w:val="003749CD"/>
    <w:rsid w:val="003D0F06"/>
    <w:rsid w:val="004E6CCB"/>
    <w:rsid w:val="00501052"/>
    <w:rsid w:val="005271D0"/>
    <w:rsid w:val="00527A62"/>
    <w:rsid w:val="00564E4F"/>
    <w:rsid w:val="005670E4"/>
    <w:rsid w:val="00571784"/>
    <w:rsid w:val="005A3FA3"/>
    <w:rsid w:val="005E2C36"/>
    <w:rsid w:val="00622319"/>
    <w:rsid w:val="0062245C"/>
    <w:rsid w:val="00652FF6"/>
    <w:rsid w:val="0065644D"/>
    <w:rsid w:val="00666F38"/>
    <w:rsid w:val="00670FAA"/>
    <w:rsid w:val="006D7FC9"/>
    <w:rsid w:val="00727B17"/>
    <w:rsid w:val="00742572"/>
    <w:rsid w:val="00755FA5"/>
    <w:rsid w:val="00770D24"/>
    <w:rsid w:val="00773199"/>
    <w:rsid w:val="00787FB1"/>
    <w:rsid w:val="007E1519"/>
    <w:rsid w:val="007F0140"/>
    <w:rsid w:val="00846F0C"/>
    <w:rsid w:val="008B721A"/>
    <w:rsid w:val="008C5FDF"/>
    <w:rsid w:val="008F2F3B"/>
    <w:rsid w:val="008F6197"/>
    <w:rsid w:val="00911E04"/>
    <w:rsid w:val="00943DEA"/>
    <w:rsid w:val="009502D6"/>
    <w:rsid w:val="00974E5F"/>
    <w:rsid w:val="009B70E2"/>
    <w:rsid w:val="009C0140"/>
    <w:rsid w:val="009F66D6"/>
    <w:rsid w:val="00A57095"/>
    <w:rsid w:val="00A66AE1"/>
    <w:rsid w:val="00A73F78"/>
    <w:rsid w:val="00AF565C"/>
    <w:rsid w:val="00BC332B"/>
    <w:rsid w:val="00C31918"/>
    <w:rsid w:val="00C4388E"/>
    <w:rsid w:val="00C43B6A"/>
    <w:rsid w:val="00CD1C3C"/>
    <w:rsid w:val="00CE3F49"/>
    <w:rsid w:val="00D27DDC"/>
    <w:rsid w:val="00D90DC4"/>
    <w:rsid w:val="00DB7B9E"/>
    <w:rsid w:val="00DD3CC8"/>
    <w:rsid w:val="00E10648"/>
    <w:rsid w:val="00E34570"/>
    <w:rsid w:val="00E37F11"/>
    <w:rsid w:val="00E50355"/>
    <w:rsid w:val="00F367DB"/>
    <w:rsid w:val="00F75DFC"/>
    <w:rsid w:val="00FA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0B54-4B07-4A42-8153-F3FDD3CC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1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71D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5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6D7FC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u w:color="00000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D7FC9"/>
    <w:rPr>
      <w:rFonts w:ascii="Arial" w:eastAsia="Arial Unicode MS" w:hAnsi="Arial" w:cs="Times New Roman"/>
      <w:kern w:val="2"/>
      <w:sz w:val="20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Надежда И. Афанасьева</cp:lastModifiedBy>
  <cp:revision>11</cp:revision>
  <cp:lastPrinted>2014-11-27T10:19:00Z</cp:lastPrinted>
  <dcterms:created xsi:type="dcterms:W3CDTF">2016-11-22T13:26:00Z</dcterms:created>
  <dcterms:modified xsi:type="dcterms:W3CDTF">2016-12-05T11:01:00Z</dcterms:modified>
</cp:coreProperties>
</file>